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42A" w:rsidRPr="00F91567" w:rsidRDefault="002C342A" w:rsidP="00F91567">
      <w:pPr>
        <w:spacing w:after="0" w:line="480" w:lineRule="auto"/>
        <w:rPr>
          <w:rFonts w:ascii="Times New Roman" w:hAnsi="Times New Roman" w:cs="Times New Roman"/>
          <w:sz w:val="24"/>
          <w:szCs w:val="24"/>
        </w:rPr>
      </w:pPr>
    </w:p>
    <w:p w:rsidR="00E17ABA" w:rsidRPr="00F91567" w:rsidRDefault="00E17ABA" w:rsidP="00F91567">
      <w:pPr>
        <w:spacing w:after="0" w:line="480" w:lineRule="auto"/>
        <w:rPr>
          <w:rFonts w:ascii="Times New Roman" w:hAnsi="Times New Roman" w:cs="Times New Roman"/>
          <w:sz w:val="24"/>
          <w:szCs w:val="24"/>
        </w:rPr>
      </w:pPr>
    </w:p>
    <w:p w:rsidR="00E17ABA" w:rsidRPr="00F91567" w:rsidRDefault="00E17ABA" w:rsidP="00F91567">
      <w:pPr>
        <w:spacing w:after="0" w:line="480" w:lineRule="auto"/>
        <w:rPr>
          <w:rFonts w:ascii="Times New Roman" w:hAnsi="Times New Roman" w:cs="Times New Roman"/>
          <w:sz w:val="24"/>
          <w:szCs w:val="24"/>
        </w:rPr>
      </w:pPr>
    </w:p>
    <w:p w:rsidR="00E17ABA" w:rsidRPr="00F91567" w:rsidRDefault="00E17ABA" w:rsidP="00F91567">
      <w:pPr>
        <w:spacing w:after="0" w:line="480" w:lineRule="auto"/>
        <w:rPr>
          <w:rFonts w:ascii="Times New Roman" w:hAnsi="Times New Roman" w:cs="Times New Roman"/>
          <w:sz w:val="24"/>
          <w:szCs w:val="24"/>
        </w:rPr>
      </w:pPr>
    </w:p>
    <w:p w:rsidR="00E17ABA" w:rsidRPr="00F91567" w:rsidRDefault="00E17ABA" w:rsidP="00F91567">
      <w:pPr>
        <w:spacing w:after="0" w:line="480" w:lineRule="auto"/>
        <w:rPr>
          <w:rFonts w:ascii="Times New Roman" w:hAnsi="Times New Roman" w:cs="Times New Roman"/>
          <w:sz w:val="24"/>
          <w:szCs w:val="24"/>
        </w:rPr>
      </w:pPr>
    </w:p>
    <w:p w:rsidR="00E17ABA" w:rsidRPr="00F91567" w:rsidRDefault="00E17ABA" w:rsidP="00F91567">
      <w:pPr>
        <w:spacing w:after="0" w:line="480" w:lineRule="auto"/>
        <w:rPr>
          <w:rFonts w:ascii="Times New Roman" w:hAnsi="Times New Roman" w:cs="Times New Roman"/>
          <w:sz w:val="24"/>
          <w:szCs w:val="24"/>
        </w:rPr>
      </w:pPr>
    </w:p>
    <w:p w:rsidR="00E17ABA" w:rsidRPr="00F91567" w:rsidRDefault="00E17ABA" w:rsidP="00F91567">
      <w:pPr>
        <w:spacing w:after="0" w:line="480" w:lineRule="auto"/>
        <w:rPr>
          <w:rFonts w:ascii="Times New Roman" w:hAnsi="Times New Roman" w:cs="Times New Roman"/>
          <w:sz w:val="24"/>
          <w:szCs w:val="24"/>
        </w:rPr>
      </w:pPr>
    </w:p>
    <w:p w:rsidR="00E17ABA" w:rsidRPr="00F91567" w:rsidRDefault="00E17ABA" w:rsidP="00F91567">
      <w:pPr>
        <w:spacing w:after="0" w:line="480" w:lineRule="auto"/>
        <w:rPr>
          <w:rFonts w:ascii="Times New Roman" w:hAnsi="Times New Roman" w:cs="Times New Roman"/>
          <w:sz w:val="24"/>
          <w:szCs w:val="24"/>
        </w:rPr>
      </w:pPr>
    </w:p>
    <w:p w:rsidR="00E17ABA" w:rsidRPr="00F91567" w:rsidRDefault="00E17ABA" w:rsidP="00F91567">
      <w:pPr>
        <w:spacing w:after="0" w:line="480" w:lineRule="auto"/>
        <w:rPr>
          <w:rFonts w:ascii="Times New Roman" w:hAnsi="Times New Roman" w:cs="Times New Roman"/>
          <w:sz w:val="24"/>
          <w:szCs w:val="24"/>
        </w:rPr>
      </w:pPr>
    </w:p>
    <w:p w:rsidR="00E17ABA" w:rsidRPr="00F91567" w:rsidRDefault="00E17ABA" w:rsidP="00F91567">
      <w:pPr>
        <w:spacing w:after="0" w:line="480" w:lineRule="auto"/>
        <w:jc w:val="center"/>
        <w:rPr>
          <w:rFonts w:ascii="Times New Roman" w:hAnsi="Times New Roman" w:cs="Times New Roman"/>
          <w:sz w:val="24"/>
          <w:szCs w:val="24"/>
        </w:rPr>
      </w:pPr>
      <w:r w:rsidRPr="00F91567">
        <w:rPr>
          <w:rFonts w:ascii="Times New Roman" w:hAnsi="Times New Roman" w:cs="Times New Roman"/>
          <w:sz w:val="24"/>
          <w:szCs w:val="24"/>
        </w:rPr>
        <w:t>The Fourth Amendment in Various Life Situations</w:t>
      </w:r>
    </w:p>
    <w:p w:rsidR="00E17ABA" w:rsidRPr="00F91567" w:rsidRDefault="00E17ABA" w:rsidP="00F91567">
      <w:pPr>
        <w:spacing w:after="0" w:line="480" w:lineRule="auto"/>
        <w:jc w:val="center"/>
        <w:rPr>
          <w:rFonts w:ascii="Times New Roman" w:hAnsi="Times New Roman" w:cs="Times New Roman"/>
          <w:sz w:val="24"/>
          <w:szCs w:val="24"/>
        </w:rPr>
      </w:pPr>
      <w:r w:rsidRPr="00F91567">
        <w:rPr>
          <w:rFonts w:ascii="Times New Roman" w:hAnsi="Times New Roman" w:cs="Times New Roman"/>
          <w:sz w:val="24"/>
          <w:szCs w:val="24"/>
        </w:rPr>
        <w:t>Student Name:</w:t>
      </w:r>
    </w:p>
    <w:p w:rsidR="00453240" w:rsidRPr="00F91567" w:rsidRDefault="00E17ABA" w:rsidP="00F91567">
      <w:pPr>
        <w:spacing w:after="0" w:line="480" w:lineRule="auto"/>
        <w:jc w:val="center"/>
        <w:rPr>
          <w:rFonts w:ascii="Times New Roman" w:hAnsi="Times New Roman" w:cs="Times New Roman"/>
          <w:sz w:val="24"/>
          <w:szCs w:val="24"/>
        </w:rPr>
      </w:pPr>
      <w:r w:rsidRPr="00F91567">
        <w:rPr>
          <w:rFonts w:ascii="Times New Roman" w:hAnsi="Times New Roman" w:cs="Times New Roman"/>
          <w:sz w:val="24"/>
          <w:szCs w:val="24"/>
        </w:rPr>
        <w:t>Institutional Affiliation:</w:t>
      </w:r>
    </w:p>
    <w:p w:rsidR="00453240" w:rsidRPr="00F91567" w:rsidRDefault="00453240" w:rsidP="00F91567">
      <w:pPr>
        <w:spacing w:line="480" w:lineRule="auto"/>
        <w:rPr>
          <w:rFonts w:ascii="Times New Roman" w:hAnsi="Times New Roman" w:cs="Times New Roman"/>
          <w:sz w:val="24"/>
          <w:szCs w:val="24"/>
        </w:rPr>
      </w:pPr>
      <w:r w:rsidRPr="00F91567">
        <w:rPr>
          <w:rFonts w:ascii="Times New Roman" w:hAnsi="Times New Roman" w:cs="Times New Roman"/>
          <w:sz w:val="24"/>
          <w:szCs w:val="24"/>
        </w:rPr>
        <w:br w:type="page"/>
      </w:r>
    </w:p>
    <w:p w:rsidR="00E17ABA" w:rsidRPr="00F91567" w:rsidRDefault="00453240" w:rsidP="00F91567">
      <w:pPr>
        <w:spacing w:after="0" w:line="480" w:lineRule="auto"/>
        <w:jc w:val="center"/>
        <w:rPr>
          <w:rFonts w:ascii="Times New Roman" w:hAnsi="Times New Roman" w:cs="Times New Roman"/>
          <w:sz w:val="24"/>
          <w:szCs w:val="24"/>
        </w:rPr>
      </w:pPr>
      <w:r w:rsidRPr="00F91567">
        <w:rPr>
          <w:rFonts w:ascii="Times New Roman" w:hAnsi="Times New Roman" w:cs="Times New Roman"/>
          <w:sz w:val="24"/>
          <w:szCs w:val="24"/>
        </w:rPr>
        <w:lastRenderedPageBreak/>
        <w:t>The Fourth Amendment in Various Life Situations</w:t>
      </w:r>
    </w:p>
    <w:p w:rsidR="00453240" w:rsidRPr="00F91567" w:rsidRDefault="007A48BF" w:rsidP="00F91567">
      <w:pPr>
        <w:spacing w:after="0" w:line="480" w:lineRule="auto"/>
        <w:rPr>
          <w:rFonts w:ascii="Times New Roman" w:hAnsi="Times New Roman" w:cs="Times New Roman"/>
          <w:sz w:val="24"/>
          <w:szCs w:val="24"/>
        </w:rPr>
      </w:pPr>
      <w:r w:rsidRPr="00F91567">
        <w:rPr>
          <w:rFonts w:ascii="Times New Roman" w:hAnsi="Times New Roman" w:cs="Times New Roman"/>
          <w:sz w:val="24"/>
          <w:szCs w:val="24"/>
        </w:rPr>
        <w:tab/>
        <w:t xml:space="preserve">The Fourth Amendment of the USA federal law protects citizens of the USA against unreasonable searches or seizures by law enforcement officers. The amendment also protects citizens from </w:t>
      </w:r>
      <w:r w:rsidR="00192A59" w:rsidRPr="00F91567">
        <w:rPr>
          <w:rFonts w:ascii="Times New Roman" w:hAnsi="Times New Roman" w:cs="Times New Roman"/>
          <w:sz w:val="24"/>
          <w:szCs w:val="24"/>
        </w:rPr>
        <w:t xml:space="preserve">the </w:t>
      </w:r>
      <w:r w:rsidRPr="00F91567">
        <w:rPr>
          <w:rFonts w:ascii="Times New Roman" w:hAnsi="Times New Roman" w:cs="Times New Roman"/>
          <w:sz w:val="24"/>
          <w:szCs w:val="24"/>
        </w:rPr>
        <w:t>use of unreasonable force in the process of arrest. The fourth amendment provides that regardless of the place where a person is, the police can only search or seize the person if they have probable cause to suspect the person’s criminal in</w:t>
      </w:r>
      <w:r w:rsidR="00746B8F" w:rsidRPr="00F91567">
        <w:rPr>
          <w:rFonts w:ascii="Times New Roman" w:hAnsi="Times New Roman" w:cs="Times New Roman"/>
          <w:sz w:val="24"/>
          <w:szCs w:val="24"/>
        </w:rPr>
        <w:t>tent</w:t>
      </w:r>
      <w:r w:rsidRPr="00F91567">
        <w:rPr>
          <w:rFonts w:ascii="Times New Roman" w:hAnsi="Times New Roman" w:cs="Times New Roman"/>
          <w:sz w:val="24"/>
          <w:szCs w:val="24"/>
        </w:rPr>
        <w:t xml:space="preserve">. However, a close review of the provisions of the law and various </w:t>
      </w:r>
      <w:r w:rsidR="00A54BE0" w:rsidRPr="00F91567">
        <w:rPr>
          <w:rFonts w:ascii="Times New Roman" w:hAnsi="Times New Roman" w:cs="Times New Roman"/>
          <w:sz w:val="24"/>
          <w:szCs w:val="24"/>
        </w:rPr>
        <w:t>Supreme Court</w:t>
      </w:r>
      <w:r w:rsidRPr="00F91567">
        <w:rPr>
          <w:rFonts w:ascii="Times New Roman" w:hAnsi="Times New Roman" w:cs="Times New Roman"/>
          <w:sz w:val="24"/>
          <w:szCs w:val="24"/>
        </w:rPr>
        <w:t xml:space="preserve"> decisions in the past, it is evident that the protection that the fourth amendment affords a person decreases significantly a</w:t>
      </w:r>
      <w:r w:rsidR="00A54BE0" w:rsidRPr="00F91567">
        <w:rPr>
          <w:rFonts w:ascii="Times New Roman" w:hAnsi="Times New Roman" w:cs="Times New Roman"/>
          <w:sz w:val="24"/>
          <w:szCs w:val="24"/>
        </w:rPr>
        <w:t xml:space="preserve">fter the person exits their home; the usefulness of the amendment even decreases further when one is either driving or is a passenger in a car. </w:t>
      </w:r>
    </w:p>
    <w:p w:rsidR="00362D3B" w:rsidRPr="00F91567" w:rsidRDefault="00362D3B" w:rsidP="00F91567">
      <w:pPr>
        <w:spacing w:after="0" w:line="480" w:lineRule="auto"/>
        <w:rPr>
          <w:rFonts w:ascii="Times New Roman" w:hAnsi="Times New Roman" w:cs="Times New Roman"/>
          <w:sz w:val="24"/>
          <w:szCs w:val="24"/>
        </w:rPr>
      </w:pPr>
      <w:r w:rsidRPr="00F91567">
        <w:rPr>
          <w:rFonts w:ascii="Times New Roman" w:hAnsi="Times New Roman" w:cs="Times New Roman"/>
          <w:sz w:val="24"/>
          <w:szCs w:val="24"/>
        </w:rPr>
        <w:tab/>
        <w:t>Although the fourth amendment is supposed to protect one against unreasonable searches and seizures, previous Supreme Court decisions suggest that the most searches and se</w:t>
      </w:r>
      <w:r w:rsidR="001439B3" w:rsidRPr="00F91567">
        <w:rPr>
          <w:rFonts w:ascii="Times New Roman" w:hAnsi="Times New Roman" w:cs="Times New Roman"/>
          <w:sz w:val="24"/>
          <w:szCs w:val="24"/>
        </w:rPr>
        <w:t>izures for either drivers or ca</w:t>
      </w:r>
      <w:r w:rsidRPr="00F91567">
        <w:rPr>
          <w:rFonts w:ascii="Times New Roman" w:hAnsi="Times New Roman" w:cs="Times New Roman"/>
          <w:sz w:val="24"/>
          <w:szCs w:val="24"/>
        </w:rPr>
        <w:t xml:space="preserve">r passengers are justifiable. </w:t>
      </w:r>
      <w:r w:rsidR="00946DEA" w:rsidRPr="00F91567">
        <w:rPr>
          <w:rFonts w:ascii="Times New Roman" w:hAnsi="Times New Roman" w:cs="Times New Roman"/>
          <w:sz w:val="24"/>
          <w:szCs w:val="24"/>
        </w:rPr>
        <w:t xml:space="preserve">The general argument is that the mobility of the car poses a great risk. For instance, while it would take hours to even days for security officers to confirm their assumptions and secure a search or seizure warrant against a driver or the passengers of a car, it takes seconds for a driver to drive their car off and escape the watch of security officers. </w:t>
      </w:r>
      <w:r w:rsidR="00336521" w:rsidRPr="00F91567">
        <w:rPr>
          <w:rFonts w:ascii="Times New Roman" w:hAnsi="Times New Roman" w:cs="Times New Roman"/>
          <w:sz w:val="24"/>
          <w:szCs w:val="24"/>
        </w:rPr>
        <w:t>Additionally</w:t>
      </w:r>
      <w:r w:rsidR="00946DEA" w:rsidRPr="00F91567">
        <w:rPr>
          <w:rFonts w:ascii="Times New Roman" w:hAnsi="Times New Roman" w:cs="Times New Roman"/>
          <w:sz w:val="24"/>
          <w:szCs w:val="24"/>
        </w:rPr>
        <w:t xml:space="preserve">, the mobility of the car limits the time that security officers can scrutinize the car and determine a probable cause which they can use to seek warrants of search, seizure, or arrest. It, thus, makes sense that on the slightest suspicion, security officers should have the automatic warrant to search and seize the passengers of a car and their belongings and use their findings a probable cause for which they can arrest the occupants of the car. </w:t>
      </w:r>
      <w:r w:rsidR="00DC6917" w:rsidRPr="00F91567">
        <w:rPr>
          <w:rFonts w:ascii="Times New Roman" w:hAnsi="Times New Roman" w:cs="Times New Roman"/>
          <w:sz w:val="24"/>
          <w:szCs w:val="24"/>
        </w:rPr>
        <w:t>In other words, the court in the 1925 case of Carroll vs. the United States agreed that the one’s privacy expectations while in a car decreased significantly owing to the mobility of the car</w:t>
      </w:r>
      <w:r w:rsidR="00803EF6" w:rsidRPr="00F91567">
        <w:rPr>
          <w:rFonts w:ascii="Times New Roman" w:hAnsi="Times New Roman" w:cs="Times New Roman"/>
          <w:sz w:val="24"/>
          <w:szCs w:val="24"/>
        </w:rPr>
        <w:t xml:space="preserve"> (Dempsey &amp; </w:t>
      </w:r>
      <w:r w:rsidR="00803EF6" w:rsidRPr="00F91567">
        <w:rPr>
          <w:rFonts w:ascii="Times New Roman" w:hAnsi="Times New Roman" w:cs="Times New Roman"/>
          <w:sz w:val="24"/>
          <w:szCs w:val="24"/>
        </w:rPr>
        <w:lastRenderedPageBreak/>
        <w:t>Frost, 2015)</w:t>
      </w:r>
      <w:r w:rsidR="00DC6917" w:rsidRPr="00F91567">
        <w:rPr>
          <w:rFonts w:ascii="Times New Roman" w:hAnsi="Times New Roman" w:cs="Times New Roman"/>
          <w:sz w:val="24"/>
          <w:szCs w:val="24"/>
        </w:rPr>
        <w:t xml:space="preserve">.  </w:t>
      </w:r>
      <w:r w:rsidR="00A134DD" w:rsidRPr="00F91567">
        <w:rPr>
          <w:rFonts w:ascii="Times New Roman" w:hAnsi="Times New Roman" w:cs="Times New Roman"/>
          <w:sz w:val="24"/>
          <w:szCs w:val="24"/>
        </w:rPr>
        <w:t xml:space="preserve">In the 1999 case of Wyoming v. Houghton 526 U.S 295, the court resolved that provided a car was legally stopped, security officers had the right to search and seize the occupants of the car and their belongings. </w:t>
      </w:r>
      <w:r w:rsidR="00381CC0" w:rsidRPr="00F91567">
        <w:rPr>
          <w:rFonts w:ascii="Times New Roman" w:hAnsi="Times New Roman" w:cs="Times New Roman"/>
          <w:sz w:val="24"/>
          <w:szCs w:val="24"/>
        </w:rPr>
        <w:t xml:space="preserve">Additionally, while other passengers can protest for their innocence when security officers desire to search the occupants of a car and their property, the court in </w:t>
      </w:r>
      <w:r w:rsidR="00381CC0" w:rsidRPr="00F91567">
        <w:rPr>
          <w:rFonts w:ascii="Times New Roman" w:hAnsi="Times New Roman" w:cs="Times New Roman"/>
          <w:sz w:val="24"/>
          <w:szCs w:val="24"/>
        </w:rPr>
        <w:t>Wyoming v. Houghton 526 U.S 295</w:t>
      </w:r>
      <w:r w:rsidR="00381CC0" w:rsidRPr="00F91567">
        <w:rPr>
          <w:rFonts w:ascii="Times New Roman" w:hAnsi="Times New Roman" w:cs="Times New Roman"/>
          <w:sz w:val="24"/>
          <w:szCs w:val="24"/>
        </w:rPr>
        <w:t xml:space="preserve"> (1999), </w:t>
      </w:r>
      <w:r w:rsidR="003A7A13" w:rsidRPr="00F91567">
        <w:rPr>
          <w:rFonts w:ascii="Times New Roman" w:hAnsi="Times New Roman" w:cs="Times New Roman"/>
          <w:sz w:val="24"/>
          <w:szCs w:val="24"/>
        </w:rPr>
        <w:t>the court determined that owing to the close proximity of the passengers in the car and their inherent desire to conceal each other, it was safer for the security officers to search as many occupants of the car as they would deem necessary</w:t>
      </w:r>
      <w:r w:rsidR="00803EF6" w:rsidRPr="00F91567">
        <w:rPr>
          <w:rFonts w:ascii="Times New Roman" w:hAnsi="Times New Roman" w:cs="Times New Roman"/>
          <w:sz w:val="24"/>
          <w:szCs w:val="24"/>
        </w:rPr>
        <w:t xml:space="preserve"> (Medina, 2013)</w:t>
      </w:r>
      <w:r w:rsidR="003A7A13" w:rsidRPr="00F91567">
        <w:rPr>
          <w:rFonts w:ascii="Times New Roman" w:hAnsi="Times New Roman" w:cs="Times New Roman"/>
          <w:sz w:val="24"/>
          <w:szCs w:val="24"/>
        </w:rPr>
        <w:t xml:space="preserve">. </w:t>
      </w:r>
    </w:p>
    <w:p w:rsidR="00144F49" w:rsidRPr="00F91567" w:rsidRDefault="00144F49" w:rsidP="00F91567">
      <w:pPr>
        <w:spacing w:after="0" w:line="480" w:lineRule="auto"/>
        <w:rPr>
          <w:rFonts w:ascii="Times New Roman" w:hAnsi="Times New Roman" w:cs="Times New Roman"/>
          <w:sz w:val="24"/>
          <w:szCs w:val="24"/>
        </w:rPr>
      </w:pPr>
      <w:r w:rsidRPr="00F91567">
        <w:rPr>
          <w:rFonts w:ascii="Times New Roman" w:hAnsi="Times New Roman" w:cs="Times New Roman"/>
          <w:sz w:val="24"/>
          <w:szCs w:val="24"/>
        </w:rPr>
        <w:tab/>
        <w:t>However, when one departs a car, the sudden decrease</w:t>
      </w:r>
      <w:r w:rsidR="006E46A2" w:rsidRPr="00F91567">
        <w:rPr>
          <w:rFonts w:ascii="Times New Roman" w:hAnsi="Times New Roman" w:cs="Times New Roman"/>
          <w:sz w:val="24"/>
          <w:szCs w:val="24"/>
        </w:rPr>
        <w:t xml:space="preserve"> in mobility is accompanied by</w:t>
      </w:r>
      <w:r w:rsidRPr="00F91567">
        <w:rPr>
          <w:rFonts w:ascii="Times New Roman" w:hAnsi="Times New Roman" w:cs="Times New Roman"/>
          <w:sz w:val="24"/>
          <w:szCs w:val="24"/>
        </w:rPr>
        <w:t xml:space="preserve"> a sudden increase in the protective role of the fourth amendment.</w:t>
      </w:r>
      <w:r w:rsidR="00561DB5" w:rsidRPr="00F91567">
        <w:rPr>
          <w:rFonts w:ascii="Times New Roman" w:hAnsi="Times New Roman" w:cs="Times New Roman"/>
          <w:sz w:val="24"/>
          <w:szCs w:val="24"/>
        </w:rPr>
        <w:t xml:space="preserve"> The case of Arizona v. Gant 556 U.S. (2009), demonstrates the sudden increase in the protective role of the fourth amendment once one leaves the car. The court, on this occasion, agreed with Gant that even though the police has a warrant to arrest the petitioner, they should not have gone ahead to search his car</w:t>
      </w:r>
      <w:r w:rsidR="005A1F6A" w:rsidRPr="00F91567">
        <w:rPr>
          <w:rFonts w:ascii="Times New Roman" w:hAnsi="Times New Roman" w:cs="Times New Roman"/>
          <w:sz w:val="24"/>
          <w:szCs w:val="24"/>
        </w:rPr>
        <w:t xml:space="preserve"> (Del &amp; Walker, 2015</w:t>
      </w:r>
      <w:r w:rsidR="00B84863" w:rsidRPr="00F91567">
        <w:rPr>
          <w:rFonts w:ascii="Times New Roman" w:hAnsi="Times New Roman" w:cs="Times New Roman"/>
          <w:sz w:val="24"/>
          <w:szCs w:val="24"/>
        </w:rPr>
        <w:t>)</w:t>
      </w:r>
      <w:r w:rsidR="00561DB5" w:rsidRPr="00F91567">
        <w:rPr>
          <w:rFonts w:ascii="Times New Roman" w:hAnsi="Times New Roman" w:cs="Times New Roman"/>
          <w:sz w:val="24"/>
          <w:szCs w:val="24"/>
        </w:rPr>
        <w:t xml:space="preserve">. Since the police officers arrested the petitioner on suspicion that he drove a car while holding a suspended driving license, there was no indication as to why the security officers would elect to search his car after they arrested him; the defendants could not sufficiently link the contents of the petitioner’s car to the crime that led to his arrest hence the court’s determination that the </w:t>
      </w:r>
      <w:r w:rsidR="00DC3EC9" w:rsidRPr="00F91567">
        <w:rPr>
          <w:rFonts w:ascii="Times New Roman" w:hAnsi="Times New Roman" w:cs="Times New Roman"/>
          <w:sz w:val="24"/>
          <w:szCs w:val="24"/>
        </w:rPr>
        <w:t xml:space="preserve">officers had violated the fourth amendment. </w:t>
      </w:r>
    </w:p>
    <w:p w:rsidR="00E607F2" w:rsidRPr="00F91567" w:rsidRDefault="00E607F2" w:rsidP="00F91567">
      <w:pPr>
        <w:spacing w:after="0" w:line="480" w:lineRule="auto"/>
        <w:rPr>
          <w:rFonts w:ascii="Times New Roman" w:hAnsi="Times New Roman" w:cs="Times New Roman"/>
          <w:sz w:val="24"/>
          <w:szCs w:val="24"/>
        </w:rPr>
      </w:pPr>
      <w:r w:rsidRPr="00F91567">
        <w:rPr>
          <w:rFonts w:ascii="Times New Roman" w:hAnsi="Times New Roman" w:cs="Times New Roman"/>
          <w:sz w:val="24"/>
          <w:szCs w:val="24"/>
        </w:rPr>
        <w:tab/>
      </w:r>
      <w:r w:rsidR="00654E69" w:rsidRPr="00F91567">
        <w:rPr>
          <w:rFonts w:ascii="Times New Roman" w:hAnsi="Times New Roman" w:cs="Times New Roman"/>
          <w:sz w:val="24"/>
          <w:szCs w:val="24"/>
        </w:rPr>
        <w:t>Likewise</w:t>
      </w:r>
      <w:r w:rsidRPr="00F91567">
        <w:rPr>
          <w:rFonts w:ascii="Times New Roman" w:hAnsi="Times New Roman" w:cs="Times New Roman"/>
          <w:sz w:val="24"/>
          <w:szCs w:val="24"/>
        </w:rPr>
        <w:t>, while roads are still public places, it is evident that individuals walking in public places enjoy a higher protection by the fourth amendment that individuals in cars. In the case of Terry v. Ohio, 392 U.S 1 (1968), for instance, the Supreme Court determined that the security officers were warranted to search or seize a person or their property if they could demonstrate that the person</w:t>
      </w:r>
      <w:r w:rsidR="00733666" w:rsidRPr="00F91567">
        <w:rPr>
          <w:rFonts w:ascii="Times New Roman" w:hAnsi="Times New Roman" w:cs="Times New Roman"/>
          <w:sz w:val="24"/>
          <w:szCs w:val="24"/>
        </w:rPr>
        <w:t>’s</w:t>
      </w:r>
      <w:r w:rsidRPr="00F91567">
        <w:rPr>
          <w:rFonts w:ascii="Times New Roman" w:hAnsi="Times New Roman" w:cs="Times New Roman"/>
          <w:sz w:val="24"/>
          <w:szCs w:val="24"/>
        </w:rPr>
        <w:t xml:space="preserve"> </w:t>
      </w:r>
      <w:r w:rsidR="00654E69" w:rsidRPr="00F91567">
        <w:rPr>
          <w:rFonts w:ascii="Times New Roman" w:hAnsi="Times New Roman" w:cs="Times New Roman"/>
          <w:sz w:val="24"/>
          <w:szCs w:val="24"/>
        </w:rPr>
        <w:t xml:space="preserve">conduct was unusual at the time of suspicion and that the </w:t>
      </w:r>
      <w:r w:rsidR="00654E69" w:rsidRPr="00F91567">
        <w:rPr>
          <w:rFonts w:ascii="Times New Roman" w:hAnsi="Times New Roman" w:cs="Times New Roman"/>
          <w:sz w:val="24"/>
          <w:szCs w:val="24"/>
        </w:rPr>
        <w:lastRenderedPageBreak/>
        <w:t>individual was about to engage in a criminal activity</w:t>
      </w:r>
      <w:r w:rsidR="005A1F6A" w:rsidRPr="00F91567">
        <w:rPr>
          <w:rFonts w:ascii="Times New Roman" w:hAnsi="Times New Roman" w:cs="Times New Roman"/>
          <w:sz w:val="24"/>
          <w:szCs w:val="24"/>
        </w:rPr>
        <w:t xml:space="preserve"> (Medina, 2013)</w:t>
      </w:r>
      <w:r w:rsidR="00654E69" w:rsidRPr="00F91567">
        <w:rPr>
          <w:rFonts w:ascii="Times New Roman" w:hAnsi="Times New Roman" w:cs="Times New Roman"/>
          <w:sz w:val="24"/>
          <w:szCs w:val="24"/>
        </w:rPr>
        <w:t xml:space="preserve">. </w:t>
      </w:r>
      <w:r w:rsidR="009A5C68" w:rsidRPr="00F91567">
        <w:rPr>
          <w:rFonts w:ascii="Times New Roman" w:hAnsi="Times New Roman" w:cs="Times New Roman"/>
          <w:sz w:val="24"/>
          <w:szCs w:val="24"/>
        </w:rPr>
        <w:t xml:space="preserve">Furthermore, this Supreme Court decision gave security officers the warrant of arresting or searching one if they had reasonable evidence to believe that the person was armed and that they posed </w:t>
      </w:r>
      <w:r w:rsidR="001B3DCC" w:rsidRPr="00F91567">
        <w:rPr>
          <w:rFonts w:ascii="Times New Roman" w:hAnsi="Times New Roman" w:cs="Times New Roman"/>
          <w:sz w:val="24"/>
          <w:szCs w:val="24"/>
        </w:rPr>
        <w:t xml:space="preserve">a </w:t>
      </w:r>
      <w:r w:rsidR="009A5C68" w:rsidRPr="00F91567">
        <w:rPr>
          <w:rFonts w:ascii="Times New Roman" w:hAnsi="Times New Roman" w:cs="Times New Roman"/>
          <w:sz w:val="24"/>
          <w:szCs w:val="24"/>
        </w:rPr>
        <w:t xml:space="preserve">reasonable danger to the surrounding community or the security officer. </w:t>
      </w:r>
      <w:r w:rsidR="00190CA3" w:rsidRPr="00F91567">
        <w:rPr>
          <w:rFonts w:ascii="Times New Roman" w:hAnsi="Times New Roman" w:cs="Times New Roman"/>
          <w:sz w:val="24"/>
          <w:szCs w:val="24"/>
        </w:rPr>
        <w:t>Moreover, in the Katz v. the United States U.S 347 (1967), the court decision introduced a new twist to the applicability of the Fourth amendment to individuals in public places. The court suggested that the fourth amendment applied to people and not places. For that reason, it is unreasonable for the police officers to continually search or impinge on the private activities of a person without a formal warrant if the person puts themselves in situations where privacy is a necessity</w:t>
      </w:r>
      <w:r w:rsidR="005A1F6A" w:rsidRPr="00F91567">
        <w:rPr>
          <w:rFonts w:ascii="Times New Roman" w:hAnsi="Times New Roman" w:cs="Times New Roman"/>
          <w:sz w:val="24"/>
          <w:szCs w:val="24"/>
        </w:rPr>
        <w:t xml:space="preserve"> </w:t>
      </w:r>
      <w:r w:rsidR="005A1F6A" w:rsidRPr="00F91567">
        <w:rPr>
          <w:rFonts w:ascii="Times New Roman" w:hAnsi="Times New Roman" w:cs="Times New Roman"/>
          <w:sz w:val="24"/>
          <w:szCs w:val="24"/>
        </w:rPr>
        <w:t>(Del &amp; Walker, 2015)</w:t>
      </w:r>
      <w:r w:rsidR="00190CA3" w:rsidRPr="00F91567">
        <w:rPr>
          <w:rFonts w:ascii="Times New Roman" w:hAnsi="Times New Roman" w:cs="Times New Roman"/>
          <w:sz w:val="24"/>
          <w:szCs w:val="24"/>
        </w:rPr>
        <w:t xml:space="preserve">. </w:t>
      </w:r>
      <w:r w:rsidR="00271452" w:rsidRPr="00F91567">
        <w:rPr>
          <w:rFonts w:ascii="Times New Roman" w:hAnsi="Times New Roman" w:cs="Times New Roman"/>
          <w:sz w:val="24"/>
          <w:szCs w:val="24"/>
        </w:rPr>
        <w:t xml:space="preserve">The petitioner, in this case, argued that although in a public place, phone calls were private and that the police officers who tapped the phone call violated his right to personal privacy; an argument which the court agreed to. </w:t>
      </w:r>
    </w:p>
    <w:p w:rsidR="00F544D9" w:rsidRPr="00F91567" w:rsidRDefault="00F544D9" w:rsidP="00F91567">
      <w:pPr>
        <w:spacing w:after="0" w:line="480" w:lineRule="auto"/>
        <w:rPr>
          <w:rFonts w:ascii="Times New Roman" w:hAnsi="Times New Roman" w:cs="Times New Roman"/>
          <w:sz w:val="24"/>
          <w:szCs w:val="24"/>
        </w:rPr>
      </w:pPr>
      <w:r w:rsidRPr="00F91567">
        <w:rPr>
          <w:rFonts w:ascii="Times New Roman" w:hAnsi="Times New Roman" w:cs="Times New Roman"/>
          <w:sz w:val="24"/>
          <w:szCs w:val="24"/>
        </w:rPr>
        <w:tab/>
        <w:t>The protectiveness of the four</w:t>
      </w:r>
      <w:r w:rsidR="00883A34" w:rsidRPr="00F91567">
        <w:rPr>
          <w:rFonts w:ascii="Times New Roman" w:hAnsi="Times New Roman" w:cs="Times New Roman"/>
          <w:sz w:val="24"/>
          <w:szCs w:val="24"/>
        </w:rPr>
        <w:t>th amendment increases further</w:t>
      </w:r>
      <w:r w:rsidRPr="00F91567">
        <w:rPr>
          <w:rFonts w:ascii="Times New Roman" w:hAnsi="Times New Roman" w:cs="Times New Roman"/>
          <w:sz w:val="24"/>
          <w:szCs w:val="24"/>
        </w:rPr>
        <w:t xml:space="preserve"> when one is in their house. </w:t>
      </w:r>
      <w:r w:rsidR="00BC7DE7" w:rsidRPr="00F91567">
        <w:rPr>
          <w:rFonts w:ascii="Times New Roman" w:hAnsi="Times New Roman" w:cs="Times New Roman"/>
          <w:sz w:val="24"/>
          <w:szCs w:val="24"/>
        </w:rPr>
        <w:t xml:space="preserve">While the situations or the necessity for searching an individual remain, the fourth amendment does not allow the security officers to search the home or house of a suspect without having acquired a formal warrant to do so. The case of </w:t>
      </w:r>
      <w:proofErr w:type="spellStart"/>
      <w:r w:rsidR="00BC7DE7" w:rsidRPr="00F91567">
        <w:rPr>
          <w:rFonts w:ascii="Times New Roman" w:hAnsi="Times New Roman" w:cs="Times New Roman"/>
          <w:sz w:val="24"/>
          <w:szCs w:val="24"/>
        </w:rPr>
        <w:t>Chimel</w:t>
      </w:r>
      <w:proofErr w:type="spellEnd"/>
      <w:r w:rsidR="00BC7DE7" w:rsidRPr="00F91567">
        <w:rPr>
          <w:rFonts w:ascii="Times New Roman" w:hAnsi="Times New Roman" w:cs="Times New Roman"/>
          <w:sz w:val="24"/>
          <w:szCs w:val="24"/>
        </w:rPr>
        <w:t xml:space="preserve"> v. California, 395 U.S 752 (1969) demonstrates this perspective clearly. The court determined that it was necessary for the officers to search </w:t>
      </w:r>
      <w:proofErr w:type="spellStart"/>
      <w:r w:rsidR="00BC7DE7" w:rsidRPr="00F91567">
        <w:rPr>
          <w:rFonts w:ascii="Times New Roman" w:hAnsi="Times New Roman" w:cs="Times New Roman"/>
          <w:sz w:val="24"/>
          <w:szCs w:val="24"/>
        </w:rPr>
        <w:t>Chimel</w:t>
      </w:r>
      <w:proofErr w:type="spellEnd"/>
      <w:r w:rsidR="00BC7DE7" w:rsidRPr="00F91567">
        <w:rPr>
          <w:rFonts w:ascii="Times New Roman" w:hAnsi="Times New Roman" w:cs="Times New Roman"/>
          <w:sz w:val="24"/>
          <w:szCs w:val="24"/>
        </w:rPr>
        <w:t xml:space="preserve"> and the vicinity that he could access immediately as a way of protecting themselves and maintaining the integrity possible evidence</w:t>
      </w:r>
      <w:r w:rsidR="00F11B43" w:rsidRPr="00F91567">
        <w:rPr>
          <w:rFonts w:ascii="Times New Roman" w:hAnsi="Times New Roman" w:cs="Times New Roman"/>
          <w:sz w:val="24"/>
          <w:szCs w:val="24"/>
        </w:rPr>
        <w:t xml:space="preserve"> </w:t>
      </w:r>
      <w:r w:rsidR="00F11B43" w:rsidRPr="00F91567">
        <w:rPr>
          <w:rFonts w:ascii="Times New Roman" w:hAnsi="Times New Roman" w:cs="Times New Roman"/>
          <w:sz w:val="24"/>
          <w:szCs w:val="24"/>
        </w:rPr>
        <w:t>(Del &amp; Walker, 2015)</w:t>
      </w:r>
      <w:r w:rsidR="00BC7DE7" w:rsidRPr="00F91567">
        <w:rPr>
          <w:rFonts w:ascii="Times New Roman" w:hAnsi="Times New Roman" w:cs="Times New Roman"/>
          <w:sz w:val="24"/>
          <w:szCs w:val="24"/>
        </w:rPr>
        <w:t xml:space="preserve">. However, searching parts of the home away from the suspect’s immediate access was akin to violation of the suspect’s right to privacy. </w:t>
      </w:r>
      <w:r w:rsidR="00975AAE" w:rsidRPr="00F91567">
        <w:rPr>
          <w:rFonts w:ascii="Times New Roman" w:hAnsi="Times New Roman" w:cs="Times New Roman"/>
          <w:sz w:val="24"/>
          <w:szCs w:val="24"/>
        </w:rPr>
        <w:t xml:space="preserve">Likewise, the court, in subsequent rulings attempted to allay controversies by differentiating the extents of a person’s property from their home. In Vale v. Louisiana, 399 U.S 30 (1970), for instance, the court determined that security officers could only </w:t>
      </w:r>
      <w:r w:rsidR="00975AAE" w:rsidRPr="00F91567">
        <w:rPr>
          <w:rFonts w:ascii="Times New Roman" w:hAnsi="Times New Roman" w:cs="Times New Roman"/>
          <w:sz w:val="24"/>
          <w:szCs w:val="24"/>
        </w:rPr>
        <w:lastRenderedPageBreak/>
        <w:t>search a suspect’s home and connect their findings to the crime for which one is arrested if the arrest takes place in the suspects home</w:t>
      </w:r>
      <w:r w:rsidR="000137B9" w:rsidRPr="00F91567">
        <w:rPr>
          <w:rFonts w:ascii="Times New Roman" w:hAnsi="Times New Roman" w:cs="Times New Roman"/>
          <w:sz w:val="24"/>
          <w:szCs w:val="24"/>
        </w:rPr>
        <w:t xml:space="preserve"> </w:t>
      </w:r>
      <w:r w:rsidR="000137B9" w:rsidRPr="00F91567">
        <w:rPr>
          <w:rFonts w:ascii="Times New Roman" w:hAnsi="Times New Roman" w:cs="Times New Roman"/>
          <w:sz w:val="24"/>
          <w:szCs w:val="24"/>
        </w:rPr>
        <w:t>(Del &amp; Walker, 2015)</w:t>
      </w:r>
      <w:r w:rsidR="00975AAE" w:rsidRPr="00F91567">
        <w:rPr>
          <w:rFonts w:ascii="Times New Roman" w:hAnsi="Times New Roman" w:cs="Times New Roman"/>
          <w:sz w:val="24"/>
          <w:szCs w:val="24"/>
        </w:rPr>
        <w:t xml:space="preserve">. If the arrest took place outside the home, it only fair to the suspect if the officers acquire a formal warrant to search their home. </w:t>
      </w:r>
      <w:r w:rsidR="00B86D75" w:rsidRPr="00F91567">
        <w:rPr>
          <w:rFonts w:ascii="Times New Roman" w:hAnsi="Times New Roman" w:cs="Times New Roman"/>
          <w:sz w:val="24"/>
          <w:szCs w:val="24"/>
        </w:rPr>
        <w:t>To eliminate any controversies, the court in Payton v. New York, 445 U.S 573 (1980), stated that the fourth amendment drew a precise line at the door to one’s residence</w:t>
      </w:r>
      <w:r w:rsidR="000137B9" w:rsidRPr="00F91567">
        <w:rPr>
          <w:rFonts w:ascii="Times New Roman" w:hAnsi="Times New Roman" w:cs="Times New Roman"/>
          <w:sz w:val="24"/>
          <w:szCs w:val="24"/>
        </w:rPr>
        <w:t xml:space="preserve"> </w:t>
      </w:r>
      <w:r w:rsidR="000137B9" w:rsidRPr="00F91567">
        <w:rPr>
          <w:rFonts w:ascii="Times New Roman" w:hAnsi="Times New Roman" w:cs="Times New Roman"/>
          <w:sz w:val="24"/>
          <w:szCs w:val="24"/>
        </w:rPr>
        <w:t>(Del &amp; Walker, 2015)</w:t>
      </w:r>
      <w:r w:rsidR="00B86D75" w:rsidRPr="00F91567">
        <w:rPr>
          <w:rFonts w:ascii="Times New Roman" w:hAnsi="Times New Roman" w:cs="Times New Roman"/>
          <w:sz w:val="24"/>
          <w:szCs w:val="24"/>
        </w:rPr>
        <w:t xml:space="preserve">. The area behind that line is highly private. Security officers can only cross that line if they have a warrant do so or have a warrant of arrest against a person residing there. </w:t>
      </w:r>
    </w:p>
    <w:p w:rsidR="00D20C6F" w:rsidRPr="00F91567" w:rsidRDefault="006514BB" w:rsidP="00F91567">
      <w:pPr>
        <w:spacing w:after="0" w:line="480" w:lineRule="auto"/>
        <w:rPr>
          <w:rFonts w:ascii="Times New Roman" w:hAnsi="Times New Roman" w:cs="Times New Roman"/>
          <w:sz w:val="24"/>
          <w:szCs w:val="24"/>
        </w:rPr>
      </w:pPr>
      <w:r w:rsidRPr="00F91567">
        <w:rPr>
          <w:rFonts w:ascii="Times New Roman" w:hAnsi="Times New Roman" w:cs="Times New Roman"/>
          <w:sz w:val="24"/>
          <w:szCs w:val="24"/>
        </w:rPr>
        <w:tab/>
        <w:t xml:space="preserve">From the discussion above, it is evident that the ability of the fourth amendment to protect one from unreasonable searches and seizures decreases as they leave their homes to step in public places and reduces even further when one is in a car. While the area behind the entrance to a person’s residence is considered private and security officers can only cross it if they have a warranty to do so, security officers can arrest one in a public place if they have reason to suspect a person’s intentions or that the person was armed. Even worse, security officers have the right to search one in a car even when they have no reason to suspect the person provided they stopped the car legally. </w:t>
      </w:r>
    </w:p>
    <w:p w:rsidR="00D20C6F" w:rsidRPr="00F91567" w:rsidRDefault="00D20C6F" w:rsidP="00F91567">
      <w:pPr>
        <w:spacing w:line="480" w:lineRule="auto"/>
        <w:rPr>
          <w:rFonts w:ascii="Times New Roman" w:hAnsi="Times New Roman" w:cs="Times New Roman"/>
          <w:sz w:val="24"/>
          <w:szCs w:val="24"/>
        </w:rPr>
      </w:pPr>
      <w:r w:rsidRPr="00F91567">
        <w:rPr>
          <w:rFonts w:ascii="Times New Roman" w:hAnsi="Times New Roman" w:cs="Times New Roman"/>
          <w:sz w:val="24"/>
          <w:szCs w:val="24"/>
        </w:rPr>
        <w:br w:type="page"/>
      </w:r>
    </w:p>
    <w:p w:rsidR="006514BB" w:rsidRPr="00F91567" w:rsidRDefault="00D20C6F" w:rsidP="00F91567">
      <w:pPr>
        <w:spacing w:after="0" w:line="480" w:lineRule="auto"/>
        <w:jc w:val="center"/>
        <w:rPr>
          <w:rFonts w:ascii="Times New Roman" w:hAnsi="Times New Roman" w:cs="Times New Roman"/>
          <w:sz w:val="24"/>
          <w:szCs w:val="24"/>
        </w:rPr>
      </w:pPr>
      <w:r w:rsidRPr="00F91567">
        <w:rPr>
          <w:rFonts w:ascii="Times New Roman" w:hAnsi="Times New Roman" w:cs="Times New Roman"/>
          <w:sz w:val="24"/>
          <w:szCs w:val="24"/>
        </w:rPr>
        <w:lastRenderedPageBreak/>
        <w:t xml:space="preserve">References </w:t>
      </w:r>
    </w:p>
    <w:p w:rsidR="00F91567" w:rsidRPr="00F91567" w:rsidRDefault="00F91567" w:rsidP="00F91567">
      <w:pPr>
        <w:spacing w:after="0" w:line="480" w:lineRule="auto"/>
        <w:ind w:left="720" w:hanging="720"/>
        <w:rPr>
          <w:rFonts w:ascii="Times New Roman" w:hAnsi="Times New Roman" w:cs="Times New Roman"/>
          <w:sz w:val="24"/>
          <w:szCs w:val="24"/>
        </w:rPr>
      </w:pPr>
      <w:bookmarkStart w:id="0" w:name="_GoBack"/>
      <w:r w:rsidRPr="00F91567">
        <w:rPr>
          <w:rFonts w:ascii="Times New Roman" w:hAnsi="Times New Roman" w:cs="Times New Roman"/>
          <w:sz w:val="24"/>
          <w:szCs w:val="24"/>
        </w:rPr>
        <w:t>Del,</w:t>
      </w:r>
      <w:r w:rsidRPr="00F91567">
        <w:rPr>
          <w:rFonts w:ascii="Times New Roman" w:hAnsi="Times New Roman" w:cs="Times New Roman"/>
          <w:sz w:val="24"/>
          <w:szCs w:val="24"/>
        </w:rPr>
        <w:t xml:space="preserve"> C. R. V., &amp; Walker, J. T. (2015</w:t>
      </w:r>
      <w:r w:rsidRPr="00F91567">
        <w:rPr>
          <w:rFonts w:ascii="Times New Roman" w:hAnsi="Times New Roman" w:cs="Times New Roman"/>
          <w:sz w:val="24"/>
          <w:szCs w:val="24"/>
        </w:rPr>
        <w:t xml:space="preserve">). </w:t>
      </w:r>
      <w:r w:rsidRPr="00F91567">
        <w:rPr>
          <w:rFonts w:ascii="Times New Roman" w:hAnsi="Times New Roman" w:cs="Times New Roman"/>
          <w:i/>
          <w:iCs/>
          <w:sz w:val="24"/>
          <w:szCs w:val="24"/>
        </w:rPr>
        <w:t>Briefs of leading cases in law enforcement</w:t>
      </w:r>
      <w:r w:rsidRPr="00F91567">
        <w:rPr>
          <w:rFonts w:ascii="Times New Roman" w:hAnsi="Times New Roman" w:cs="Times New Roman"/>
          <w:sz w:val="24"/>
          <w:szCs w:val="24"/>
        </w:rPr>
        <w:t>. Newark, NJ: LexisNexis Matthew Bender.</w:t>
      </w:r>
    </w:p>
    <w:p w:rsidR="00F91567" w:rsidRPr="00F91567" w:rsidRDefault="00F91567" w:rsidP="00F91567">
      <w:pPr>
        <w:spacing w:after="0" w:line="480" w:lineRule="auto"/>
        <w:ind w:left="720" w:hanging="720"/>
        <w:rPr>
          <w:rFonts w:ascii="Times New Roman" w:hAnsi="Times New Roman" w:cs="Times New Roman"/>
          <w:sz w:val="24"/>
          <w:szCs w:val="24"/>
        </w:rPr>
      </w:pPr>
      <w:r w:rsidRPr="00F91567">
        <w:rPr>
          <w:rFonts w:ascii="Times New Roman" w:hAnsi="Times New Roman" w:cs="Times New Roman"/>
          <w:sz w:val="24"/>
          <w:szCs w:val="24"/>
        </w:rPr>
        <w:t>Dem</w:t>
      </w:r>
      <w:r w:rsidRPr="00F91567">
        <w:rPr>
          <w:rFonts w:ascii="Times New Roman" w:hAnsi="Times New Roman" w:cs="Times New Roman"/>
          <w:sz w:val="24"/>
          <w:szCs w:val="24"/>
        </w:rPr>
        <w:t>psey, J. S., &amp; Frost, L. S. (2015</w:t>
      </w:r>
      <w:r w:rsidRPr="00F91567">
        <w:rPr>
          <w:rFonts w:ascii="Times New Roman" w:hAnsi="Times New Roman" w:cs="Times New Roman"/>
          <w:sz w:val="24"/>
          <w:szCs w:val="24"/>
        </w:rPr>
        <w:t xml:space="preserve">). </w:t>
      </w:r>
      <w:r w:rsidRPr="00F91567">
        <w:rPr>
          <w:rFonts w:ascii="Times New Roman" w:hAnsi="Times New Roman" w:cs="Times New Roman"/>
          <w:i/>
          <w:iCs/>
          <w:sz w:val="24"/>
          <w:szCs w:val="24"/>
        </w:rPr>
        <w:t>An introduction to policing</w:t>
      </w:r>
      <w:r w:rsidRPr="00F91567">
        <w:rPr>
          <w:rFonts w:ascii="Times New Roman" w:hAnsi="Times New Roman" w:cs="Times New Roman"/>
          <w:sz w:val="24"/>
          <w:szCs w:val="24"/>
        </w:rPr>
        <w:t>. Princeton, N.J: Recording for the Blind &amp; Dyslexic.</w:t>
      </w:r>
    </w:p>
    <w:p w:rsidR="00F91567" w:rsidRPr="00F91567" w:rsidRDefault="00F91567" w:rsidP="00F91567">
      <w:pPr>
        <w:spacing w:after="0" w:line="480" w:lineRule="auto"/>
        <w:ind w:left="720" w:hanging="720"/>
        <w:rPr>
          <w:rFonts w:ascii="Times New Roman" w:hAnsi="Times New Roman" w:cs="Times New Roman"/>
          <w:sz w:val="24"/>
          <w:szCs w:val="24"/>
        </w:rPr>
      </w:pPr>
      <w:r w:rsidRPr="00F91567">
        <w:rPr>
          <w:rFonts w:ascii="Times New Roman" w:hAnsi="Times New Roman" w:cs="Times New Roman"/>
          <w:sz w:val="24"/>
          <w:szCs w:val="24"/>
        </w:rPr>
        <w:t xml:space="preserve">Medina, M. (2013). </w:t>
      </w:r>
      <w:r w:rsidRPr="00F91567">
        <w:rPr>
          <w:rFonts w:ascii="Times New Roman" w:hAnsi="Times New Roman" w:cs="Times New Roman"/>
          <w:i/>
          <w:iCs/>
          <w:sz w:val="24"/>
          <w:szCs w:val="24"/>
        </w:rPr>
        <w:t>Real world search &amp; seizure: A street handbook for law enforcement</w:t>
      </w:r>
      <w:r w:rsidRPr="00F91567">
        <w:rPr>
          <w:rFonts w:ascii="Times New Roman" w:hAnsi="Times New Roman" w:cs="Times New Roman"/>
          <w:sz w:val="24"/>
          <w:szCs w:val="24"/>
        </w:rPr>
        <w:t xml:space="preserve">. Flushing, NY: </w:t>
      </w:r>
      <w:proofErr w:type="spellStart"/>
      <w:r w:rsidRPr="00F91567">
        <w:rPr>
          <w:rFonts w:ascii="Times New Roman" w:hAnsi="Times New Roman" w:cs="Times New Roman"/>
          <w:sz w:val="24"/>
          <w:szCs w:val="24"/>
        </w:rPr>
        <w:t>Looseleaf</w:t>
      </w:r>
      <w:proofErr w:type="spellEnd"/>
      <w:r w:rsidRPr="00F91567">
        <w:rPr>
          <w:rFonts w:ascii="Times New Roman" w:hAnsi="Times New Roman" w:cs="Times New Roman"/>
          <w:sz w:val="24"/>
          <w:szCs w:val="24"/>
        </w:rPr>
        <w:t xml:space="preserve"> Law Publications.</w:t>
      </w:r>
    </w:p>
    <w:bookmarkEnd w:id="0"/>
    <w:p w:rsidR="00190CA3" w:rsidRPr="00F91567" w:rsidRDefault="00190CA3" w:rsidP="00F91567">
      <w:pPr>
        <w:spacing w:after="0" w:line="480" w:lineRule="auto"/>
        <w:rPr>
          <w:rFonts w:ascii="Times New Roman" w:hAnsi="Times New Roman" w:cs="Times New Roman"/>
          <w:sz w:val="24"/>
          <w:szCs w:val="24"/>
        </w:rPr>
      </w:pPr>
    </w:p>
    <w:sectPr w:rsidR="00190CA3" w:rsidRPr="00F91567" w:rsidSect="007D68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59E" w:rsidRDefault="00E3559E" w:rsidP="00D20C6F">
      <w:pPr>
        <w:spacing w:after="0" w:line="240" w:lineRule="auto"/>
      </w:pPr>
      <w:r>
        <w:separator/>
      </w:r>
    </w:p>
  </w:endnote>
  <w:endnote w:type="continuationSeparator" w:id="0">
    <w:p w:rsidR="00E3559E" w:rsidRDefault="00E3559E" w:rsidP="00D20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59E" w:rsidRDefault="00E3559E" w:rsidP="00D20C6F">
      <w:pPr>
        <w:spacing w:after="0" w:line="240" w:lineRule="auto"/>
      </w:pPr>
      <w:r>
        <w:separator/>
      </w:r>
    </w:p>
  </w:footnote>
  <w:footnote w:type="continuationSeparator" w:id="0">
    <w:p w:rsidR="00E3559E" w:rsidRDefault="00E3559E" w:rsidP="00D20C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C6F" w:rsidRPr="00D20C6F" w:rsidRDefault="00D20C6F" w:rsidP="00D20C6F">
    <w:pPr>
      <w:pStyle w:val="Header"/>
      <w:spacing w:line="480" w:lineRule="auto"/>
      <w:jc w:val="right"/>
      <w:rPr>
        <w:rFonts w:ascii="Times New Roman" w:hAnsi="Times New Roman" w:cs="Times New Roman"/>
        <w:sz w:val="24"/>
        <w:szCs w:val="24"/>
      </w:rPr>
    </w:pPr>
    <w:r w:rsidRPr="00D20C6F">
      <w:rPr>
        <w:rFonts w:ascii="Times New Roman" w:hAnsi="Times New Roman" w:cs="Times New Roman"/>
        <w:sz w:val="24"/>
        <w:szCs w:val="24"/>
      </w:rPr>
      <w:t>THE FOURTH AMENDMENT</w:t>
    </w:r>
    <w:r>
      <w:rPr>
        <w:rFonts w:ascii="Times New Roman" w:hAnsi="Times New Roman" w:cs="Times New Roman"/>
        <w:sz w:val="24"/>
        <w:szCs w:val="24"/>
      </w:rPr>
      <w:tab/>
    </w:r>
    <w:r>
      <w:rPr>
        <w:rFonts w:ascii="Times New Roman" w:hAnsi="Times New Roman" w:cs="Times New Roman"/>
        <w:sz w:val="24"/>
        <w:szCs w:val="24"/>
      </w:rPr>
      <w:tab/>
    </w:r>
    <w:r w:rsidRPr="00D20C6F">
      <w:rPr>
        <w:rFonts w:ascii="Times New Roman" w:hAnsi="Times New Roman" w:cs="Times New Roman"/>
        <w:sz w:val="24"/>
        <w:szCs w:val="24"/>
      </w:rPr>
      <w:t xml:space="preserve"> </w:t>
    </w:r>
    <w:sdt>
      <w:sdtPr>
        <w:rPr>
          <w:rFonts w:ascii="Times New Roman" w:hAnsi="Times New Roman" w:cs="Times New Roman"/>
          <w:sz w:val="24"/>
          <w:szCs w:val="24"/>
        </w:rPr>
        <w:id w:val="189263420"/>
        <w:docPartObj>
          <w:docPartGallery w:val="Page Numbers (Top of Page)"/>
          <w:docPartUnique/>
        </w:docPartObj>
      </w:sdtPr>
      <w:sdtEndPr>
        <w:rPr>
          <w:noProof/>
        </w:rPr>
      </w:sdtEndPr>
      <w:sdtContent>
        <w:r w:rsidRPr="00D20C6F">
          <w:rPr>
            <w:rFonts w:ascii="Times New Roman" w:hAnsi="Times New Roman" w:cs="Times New Roman"/>
            <w:sz w:val="24"/>
            <w:szCs w:val="24"/>
          </w:rPr>
          <w:fldChar w:fldCharType="begin"/>
        </w:r>
        <w:r w:rsidRPr="00D20C6F">
          <w:rPr>
            <w:rFonts w:ascii="Times New Roman" w:hAnsi="Times New Roman" w:cs="Times New Roman"/>
            <w:sz w:val="24"/>
            <w:szCs w:val="24"/>
          </w:rPr>
          <w:instrText xml:space="preserve"> PAGE   \* MERGEFORMAT </w:instrText>
        </w:r>
        <w:r w:rsidRPr="00D20C6F">
          <w:rPr>
            <w:rFonts w:ascii="Times New Roman" w:hAnsi="Times New Roman" w:cs="Times New Roman"/>
            <w:sz w:val="24"/>
            <w:szCs w:val="24"/>
          </w:rPr>
          <w:fldChar w:fldCharType="separate"/>
        </w:r>
        <w:r w:rsidR="00F91567">
          <w:rPr>
            <w:rFonts w:ascii="Times New Roman" w:hAnsi="Times New Roman" w:cs="Times New Roman"/>
            <w:noProof/>
            <w:sz w:val="24"/>
            <w:szCs w:val="24"/>
          </w:rPr>
          <w:t>5</w:t>
        </w:r>
        <w:r w:rsidRPr="00D20C6F">
          <w:rPr>
            <w:rFonts w:ascii="Times New Roman" w:hAnsi="Times New Roman" w:cs="Times New Roman"/>
            <w:noProof/>
            <w:sz w:val="24"/>
            <w:szCs w:val="24"/>
          </w:rPr>
          <w:fldChar w:fldCharType="end"/>
        </w:r>
      </w:sdtContent>
    </w:sdt>
  </w:p>
  <w:p w:rsidR="00D20C6F" w:rsidRDefault="00D20C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68F7" w:rsidRPr="007D68F7" w:rsidRDefault="007D68F7" w:rsidP="007D68F7">
    <w:pPr>
      <w:pStyle w:val="Header"/>
      <w:spacing w:line="480" w:lineRule="auto"/>
      <w:jc w:val="right"/>
      <w:rPr>
        <w:rFonts w:ascii="Times New Roman" w:hAnsi="Times New Roman" w:cs="Times New Roman"/>
        <w:sz w:val="24"/>
        <w:szCs w:val="24"/>
      </w:rPr>
    </w:pPr>
    <w:r w:rsidRPr="007D68F7">
      <w:rPr>
        <w:rFonts w:ascii="Times New Roman" w:hAnsi="Times New Roman" w:cs="Times New Roman"/>
        <w:sz w:val="24"/>
        <w:szCs w:val="24"/>
      </w:rPr>
      <w:t xml:space="preserve">Running head: </w:t>
    </w:r>
    <w:r w:rsidRPr="007D68F7">
      <w:rPr>
        <w:rFonts w:ascii="Times New Roman" w:hAnsi="Times New Roman" w:cs="Times New Roman"/>
        <w:sz w:val="24"/>
        <w:szCs w:val="24"/>
      </w:rPr>
      <w:t>THE FOURTH AMENDMENT</w:t>
    </w:r>
    <w:r>
      <w:rPr>
        <w:rFonts w:ascii="Times New Roman" w:hAnsi="Times New Roman" w:cs="Times New Roman"/>
        <w:sz w:val="24"/>
        <w:szCs w:val="24"/>
      </w:rPr>
      <w:tab/>
    </w:r>
    <w:r>
      <w:rPr>
        <w:rFonts w:ascii="Times New Roman" w:hAnsi="Times New Roman" w:cs="Times New Roman"/>
        <w:sz w:val="24"/>
        <w:szCs w:val="24"/>
      </w:rPr>
      <w:tab/>
    </w:r>
    <w:r w:rsidRPr="007D68F7">
      <w:rPr>
        <w:rFonts w:ascii="Times New Roman" w:hAnsi="Times New Roman" w:cs="Times New Roman"/>
        <w:sz w:val="24"/>
        <w:szCs w:val="24"/>
      </w:rPr>
      <w:t xml:space="preserve"> </w:t>
    </w:r>
    <w:sdt>
      <w:sdtPr>
        <w:rPr>
          <w:rFonts w:ascii="Times New Roman" w:hAnsi="Times New Roman" w:cs="Times New Roman"/>
          <w:sz w:val="24"/>
          <w:szCs w:val="24"/>
        </w:rPr>
        <w:id w:val="-1497336250"/>
        <w:docPartObj>
          <w:docPartGallery w:val="Page Numbers (Top of Page)"/>
          <w:docPartUnique/>
        </w:docPartObj>
      </w:sdtPr>
      <w:sdtEndPr>
        <w:rPr>
          <w:noProof/>
        </w:rPr>
      </w:sdtEndPr>
      <w:sdtContent>
        <w:r w:rsidRPr="007D68F7">
          <w:rPr>
            <w:rFonts w:ascii="Times New Roman" w:hAnsi="Times New Roman" w:cs="Times New Roman"/>
            <w:sz w:val="24"/>
            <w:szCs w:val="24"/>
          </w:rPr>
          <w:fldChar w:fldCharType="begin"/>
        </w:r>
        <w:r w:rsidRPr="007D68F7">
          <w:rPr>
            <w:rFonts w:ascii="Times New Roman" w:hAnsi="Times New Roman" w:cs="Times New Roman"/>
            <w:sz w:val="24"/>
            <w:szCs w:val="24"/>
          </w:rPr>
          <w:instrText xml:space="preserve"> PAGE   \* MERGEFORMAT </w:instrText>
        </w:r>
        <w:r w:rsidRPr="007D68F7">
          <w:rPr>
            <w:rFonts w:ascii="Times New Roman" w:hAnsi="Times New Roman" w:cs="Times New Roman"/>
            <w:sz w:val="24"/>
            <w:szCs w:val="24"/>
          </w:rPr>
          <w:fldChar w:fldCharType="separate"/>
        </w:r>
        <w:r w:rsidR="00F91567">
          <w:rPr>
            <w:rFonts w:ascii="Times New Roman" w:hAnsi="Times New Roman" w:cs="Times New Roman"/>
            <w:noProof/>
            <w:sz w:val="24"/>
            <w:szCs w:val="24"/>
          </w:rPr>
          <w:t>1</w:t>
        </w:r>
        <w:r w:rsidRPr="007D68F7">
          <w:rPr>
            <w:rFonts w:ascii="Times New Roman" w:hAnsi="Times New Roman" w:cs="Times New Roman"/>
            <w:noProof/>
            <w:sz w:val="24"/>
            <w:szCs w:val="24"/>
          </w:rPr>
          <w:fldChar w:fldCharType="end"/>
        </w:r>
      </w:sdtContent>
    </w:sdt>
  </w:p>
  <w:p w:rsidR="00D20C6F" w:rsidRDefault="00D20C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ABA"/>
    <w:rsid w:val="000137B9"/>
    <w:rsid w:val="001439B3"/>
    <w:rsid w:val="00144F49"/>
    <w:rsid w:val="00190CA3"/>
    <w:rsid w:val="00192A59"/>
    <w:rsid w:val="001B3DCC"/>
    <w:rsid w:val="00271452"/>
    <w:rsid w:val="002C342A"/>
    <w:rsid w:val="00336521"/>
    <w:rsid w:val="00362D3B"/>
    <w:rsid w:val="00381CC0"/>
    <w:rsid w:val="003A7A13"/>
    <w:rsid w:val="00453240"/>
    <w:rsid w:val="00561DB5"/>
    <w:rsid w:val="005A1F6A"/>
    <w:rsid w:val="006514BB"/>
    <w:rsid w:val="00654E69"/>
    <w:rsid w:val="006E46A2"/>
    <w:rsid w:val="00733666"/>
    <w:rsid w:val="00746B8F"/>
    <w:rsid w:val="007A48BF"/>
    <w:rsid w:val="007D68F7"/>
    <w:rsid w:val="00803EF6"/>
    <w:rsid w:val="00883A34"/>
    <w:rsid w:val="00946DEA"/>
    <w:rsid w:val="00975AAE"/>
    <w:rsid w:val="009A5C68"/>
    <w:rsid w:val="00A134DD"/>
    <w:rsid w:val="00A54BE0"/>
    <w:rsid w:val="00B84863"/>
    <w:rsid w:val="00B86D75"/>
    <w:rsid w:val="00BC7DE7"/>
    <w:rsid w:val="00D20C6F"/>
    <w:rsid w:val="00DC3EC9"/>
    <w:rsid w:val="00DC6917"/>
    <w:rsid w:val="00DD6E18"/>
    <w:rsid w:val="00E17ABA"/>
    <w:rsid w:val="00E3559E"/>
    <w:rsid w:val="00E607F2"/>
    <w:rsid w:val="00F11B43"/>
    <w:rsid w:val="00F544D9"/>
    <w:rsid w:val="00F91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A4CF39-A09D-43A5-A2BA-C14F4426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0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C6F"/>
  </w:style>
  <w:style w:type="paragraph" w:styleId="Footer">
    <w:name w:val="footer"/>
    <w:basedOn w:val="Normal"/>
    <w:link w:val="FooterChar"/>
    <w:uiPriority w:val="99"/>
    <w:unhideWhenUsed/>
    <w:rsid w:val="00D20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6</Pages>
  <Words>1211</Words>
  <Characters>6904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dcterms:created xsi:type="dcterms:W3CDTF">2018-08-18T04:33:00Z</dcterms:created>
  <dcterms:modified xsi:type="dcterms:W3CDTF">2018-08-18T06:43:00Z</dcterms:modified>
</cp:coreProperties>
</file>